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6075B" w14:textId="77777777" w:rsidR="000822B1" w:rsidRDefault="007C6299">
      <w:r>
        <w:t>Rogan Bogaert</w:t>
      </w:r>
    </w:p>
    <w:p w14:paraId="03E5134A" w14:textId="77777777" w:rsidR="007C6299" w:rsidRDefault="007C6299">
      <w:r>
        <w:t>SMT Graduate Workshop</w:t>
      </w:r>
    </w:p>
    <w:p w14:paraId="0621C093" w14:textId="77777777" w:rsidR="007C6299" w:rsidRDefault="007C6299">
      <w:r>
        <w:t>November 8</w:t>
      </w:r>
      <w:r w:rsidRPr="007C6299">
        <w:rPr>
          <w:vertAlign w:val="superscript"/>
        </w:rPr>
        <w:t>th</w:t>
      </w:r>
      <w:r>
        <w:t>, 2015</w:t>
      </w:r>
    </w:p>
    <w:p w14:paraId="57E56DD7" w14:textId="77777777" w:rsidR="007C6299" w:rsidRDefault="007C6299" w:rsidP="007C6299">
      <w:pPr>
        <w:jc w:val="center"/>
      </w:pPr>
    </w:p>
    <w:p w14:paraId="17B3B1EA" w14:textId="77777777" w:rsidR="007C6299" w:rsidRDefault="007C6299" w:rsidP="007C6299">
      <w:pPr>
        <w:jc w:val="center"/>
      </w:pPr>
      <w:r>
        <w:t xml:space="preserve">Theme as Formal Marker in Francesco da Milano’s </w:t>
      </w:r>
      <w:proofErr w:type="spellStart"/>
      <w:r>
        <w:t>Ricercare</w:t>
      </w:r>
      <w:proofErr w:type="spellEnd"/>
      <w:r>
        <w:t xml:space="preserve"> No. 55</w:t>
      </w:r>
    </w:p>
    <w:p w14:paraId="570433D2" w14:textId="07899100" w:rsidR="00C72D7D" w:rsidRDefault="00C72D7D" w:rsidP="007C6299">
      <w:pPr>
        <w:jc w:val="center"/>
      </w:pPr>
    </w:p>
    <w:p w14:paraId="54F64A34" w14:textId="4F72E7C5" w:rsidR="00C72D7D" w:rsidRDefault="00E604DF" w:rsidP="00C72D7D">
      <w:r w:rsidRPr="00326B2E">
        <w:rPr>
          <w:b/>
        </w:rPr>
        <w:t>Question:</w:t>
      </w:r>
      <w:r>
        <w:t xml:space="preserve"> How might the consideration of a theme </w:t>
      </w:r>
      <w:r w:rsidR="00295D5B">
        <w:t>(or themes) help</w:t>
      </w:r>
      <w:r w:rsidR="009E23FA">
        <w:t xml:space="preserve"> us to parse a work like </w:t>
      </w:r>
      <w:proofErr w:type="spellStart"/>
      <w:r w:rsidR="009E23FA">
        <w:t>Ricercare</w:t>
      </w:r>
      <w:proofErr w:type="spellEnd"/>
      <w:r w:rsidR="009E23FA">
        <w:t xml:space="preserve"> No. 55?</w:t>
      </w:r>
    </w:p>
    <w:p w14:paraId="22A4FD96" w14:textId="6D2C16C7" w:rsidR="00B6316D" w:rsidRDefault="00B6316D" w:rsidP="00C72D7D"/>
    <w:p w14:paraId="55EFD786" w14:textId="54A745F8" w:rsidR="00B6316D" w:rsidRPr="00B6316D" w:rsidRDefault="00B6316D" w:rsidP="00C72D7D">
      <w:pPr>
        <w:rPr>
          <w:b/>
        </w:rPr>
      </w:pPr>
      <w:r w:rsidRPr="00B6316D">
        <w:rPr>
          <w:b/>
        </w:rPr>
        <w:t>What?</w:t>
      </w:r>
    </w:p>
    <w:p w14:paraId="67B7E97C" w14:textId="77777777" w:rsidR="00B6316D" w:rsidRDefault="00B6316D" w:rsidP="00C72D7D"/>
    <w:p w14:paraId="73510F85" w14:textId="561B7F46" w:rsidR="00C72D7D" w:rsidRDefault="00C72D7D" w:rsidP="00C72D7D">
      <w:r>
        <w:t>Figure 1.</w:t>
      </w:r>
      <w:r w:rsidR="009E23FA">
        <w:t xml:space="preserve"> </w:t>
      </w:r>
      <w:r w:rsidR="00B6316D">
        <w:t>Theme</w:t>
      </w:r>
      <w:r w:rsidR="00326B2E">
        <w:t xml:space="preserve"> M</w:t>
      </w:r>
      <w:r w:rsidR="00B6316D">
        <w:t xml:space="preserve"> and Variants</w:t>
      </w:r>
    </w:p>
    <w:p w14:paraId="030457A9" w14:textId="77777777" w:rsidR="00295D5B" w:rsidRDefault="00295D5B" w:rsidP="00C72D7D"/>
    <w:p w14:paraId="34BE1284" w14:textId="70B5F594" w:rsidR="00295D5B" w:rsidRDefault="00295D5B" w:rsidP="00C72D7D">
      <w:r>
        <w:rPr>
          <w:noProof/>
          <w:lang w:eastAsia="en-CA"/>
        </w:rPr>
        <w:t xml:space="preserve">  </w:t>
      </w:r>
      <w:r w:rsidRPr="00295D5B">
        <w:rPr>
          <w:noProof/>
          <w:lang w:eastAsia="en-CA"/>
        </w:rPr>
        <w:drawing>
          <wp:inline distT="0" distB="0" distL="0" distR="0" wp14:anchorId="4E93CCFE" wp14:editId="2415EB29">
            <wp:extent cx="1247775" cy="400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t xml:space="preserve">   or    </w:t>
      </w:r>
      <w:r w:rsidRPr="00295D5B">
        <w:rPr>
          <w:noProof/>
          <w:lang w:eastAsia="en-CA"/>
        </w:rPr>
        <w:drawing>
          <wp:inline distT="0" distB="0" distL="0" distR="0" wp14:anchorId="78C273F1" wp14:editId="062210D1">
            <wp:extent cx="1057275" cy="400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t xml:space="preserve">   or    </w:t>
      </w:r>
      <w:r w:rsidRPr="00295D5B">
        <w:rPr>
          <w:noProof/>
          <w:lang w:eastAsia="en-CA"/>
        </w:rPr>
        <w:drawing>
          <wp:inline distT="0" distB="0" distL="0" distR="0" wp14:anchorId="316C51EB" wp14:editId="23C8FD9B">
            <wp:extent cx="1400175" cy="4572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352AD01C" w14:textId="12592E4A" w:rsidR="00664CD4" w:rsidRDefault="00664CD4" w:rsidP="00C72D7D"/>
    <w:p w14:paraId="7D1FFA07" w14:textId="79BD3B81" w:rsidR="00664CD4" w:rsidRDefault="00B6316D" w:rsidP="00C72D7D">
      <w:r>
        <w:t>Although these figures appear with different melodic configurations throughout t</w:t>
      </w:r>
      <w:r w:rsidR="00392C4B">
        <w:t>he piece</w:t>
      </w:r>
      <w:r>
        <w:t xml:space="preserve">, similarity in their rhythms and contexts indicates that </w:t>
      </w:r>
      <w:r w:rsidR="00392C4B">
        <w:t>they may be considered as a single theme.</w:t>
      </w:r>
    </w:p>
    <w:p w14:paraId="30341DA0" w14:textId="77777777" w:rsidR="00B6316D" w:rsidRDefault="00B6316D" w:rsidP="00C72D7D"/>
    <w:p w14:paraId="5A61577E" w14:textId="0DCE0059" w:rsidR="00B6316D" w:rsidRDefault="00392C4B" w:rsidP="00C72D7D">
      <w:pPr>
        <w:rPr>
          <w:b/>
        </w:rPr>
      </w:pPr>
      <w:r w:rsidRPr="00392C4B">
        <w:rPr>
          <w:b/>
        </w:rPr>
        <w:t>Where?</w:t>
      </w:r>
    </w:p>
    <w:p w14:paraId="13DFDA7F" w14:textId="77777777" w:rsidR="00392C4B" w:rsidRDefault="00392C4B" w:rsidP="00C72D7D">
      <w:pPr>
        <w:rPr>
          <w:b/>
        </w:rPr>
      </w:pPr>
    </w:p>
    <w:p w14:paraId="16D37332" w14:textId="3BF3E9DD" w:rsidR="00392C4B" w:rsidRPr="00392C4B" w:rsidRDefault="00392C4B" w:rsidP="00C72D7D">
      <w:pPr>
        <w:rPr>
          <w:b/>
        </w:rPr>
      </w:pPr>
      <w:r>
        <w:t>Figure 2. Cadence and transitional points in which the theme is involved.</w:t>
      </w:r>
    </w:p>
    <w:p w14:paraId="6B8A076B" w14:textId="77777777" w:rsidR="00B6316D" w:rsidRDefault="00B6316D" w:rsidP="00C72D7D"/>
    <w:p w14:paraId="4368921F" w14:textId="77777777" w:rsidR="00FA198E" w:rsidRDefault="00FA198E" w:rsidP="00FA198E">
      <w:pPr>
        <w:pStyle w:val="ListParagraph"/>
        <w:numPr>
          <w:ilvl w:val="0"/>
          <w:numId w:val="1"/>
        </w:numPr>
      </w:pPr>
    </w:p>
    <w:p w14:paraId="45F4AAE3" w14:textId="1DBA7519" w:rsidR="00FA198E" w:rsidRDefault="00FA198E" w:rsidP="00FA198E">
      <w:pPr>
        <w:pStyle w:val="ListParagraph"/>
      </w:pPr>
      <w:r w:rsidRPr="00FA198E">
        <w:rPr>
          <w:noProof/>
          <w:lang w:eastAsia="en-CA"/>
        </w:rPr>
        <w:drawing>
          <wp:inline distT="0" distB="0" distL="0" distR="0" wp14:anchorId="4FF7BDBA" wp14:editId="6942D169">
            <wp:extent cx="5943600" cy="888511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608D8" w14:textId="6E6D61CA" w:rsidR="00B6316D" w:rsidRDefault="00FA198E" w:rsidP="00FA198E">
      <w:proofErr w:type="gramStart"/>
      <w:r>
        <w:t>mm. 4</w:t>
      </w:r>
      <w:proofErr w:type="gramEnd"/>
      <w:r>
        <w:t>-6</w:t>
      </w:r>
      <w:r w:rsidR="00326B2E">
        <w:t>. Theme M as</w:t>
      </w:r>
      <w:r>
        <w:t xml:space="preserve"> part of a weak, elided cadence across the bar line of mm. 5-6.</w:t>
      </w:r>
    </w:p>
    <w:p w14:paraId="7137705C" w14:textId="77777777" w:rsidR="00FA198E" w:rsidRDefault="00FA198E" w:rsidP="00FA198E">
      <w:pPr>
        <w:ind w:left="360"/>
      </w:pPr>
    </w:p>
    <w:p w14:paraId="3C164928" w14:textId="77777777" w:rsidR="00FA198E" w:rsidRDefault="00FA198E" w:rsidP="00FA198E">
      <w:pPr>
        <w:pStyle w:val="ListParagraph"/>
        <w:numPr>
          <w:ilvl w:val="0"/>
          <w:numId w:val="1"/>
        </w:numPr>
      </w:pPr>
    </w:p>
    <w:p w14:paraId="5B660E07" w14:textId="6AD3CF64" w:rsidR="00FA198E" w:rsidRDefault="00FA198E" w:rsidP="00FA198E">
      <w:pPr>
        <w:pStyle w:val="ListParagraph"/>
      </w:pPr>
      <w:r w:rsidRPr="00FA198E">
        <w:rPr>
          <w:noProof/>
          <w:lang w:eastAsia="en-CA"/>
        </w:rPr>
        <w:drawing>
          <wp:inline distT="0" distB="0" distL="0" distR="0" wp14:anchorId="1EEB203B" wp14:editId="57172A1F">
            <wp:extent cx="1695450" cy="718073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145" cy="7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98E">
        <w:rPr>
          <w:noProof/>
          <w:lang w:eastAsia="en-CA"/>
        </w:rPr>
        <w:drawing>
          <wp:inline distT="0" distB="0" distL="0" distR="0" wp14:anchorId="50873095" wp14:editId="3E25A0B8">
            <wp:extent cx="2153899" cy="723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26" cy="73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387F6" w14:textId="164BEF63" w:rsidR="00FA198E" w:rsidRDefault="00FA198E" w:rsidP="00FA198E">
      <w:proofErr w:type="gramStart"/>
      <w:r>
        <w:t>mm. 33</w:t>
      </w:r>
      <w:proofErr w:type="gramEnd"/>
      <w:r>
        <w:t xml:space="preserve">-34. </w:t>
      </w:r>
      <w:r w:rsidR="00326B2E">
        <w:t>Theme M acting as a transitional point between two textures.</w:t>
      </w:r>
    </w:p>
    <w:p w14:paraId="4F5F867F" w14:textId="77777777" w:rsidR="009E23FA" w:rsidRDefault="009E23FA" w:rsidP="00C72D7D"/>
    <w:p w14:paraId="7AA57CCC" w14:textId="1D86202C" w:rsidR="00C72D7D" w:rsidRPr="002F3DD7" w:rsidRDefault="00326B2E" w:rsidP="00C72D7D">
      <w:pPr>
        <w:rPr>
          <w:b/>
        </w:rPr>
      </w:pPr>
      <w:r>
        <w:rPr>
          <w:b/>
        </w:rPr>
        <w:t xml:space="preserve">Conclusion: </w:t>
      </w:r>
      <w:r>
        <w:t xml:space="preserve">Although Theme M does not unravel the form of the whole </w:t>
      </w:r>
      <w:proofErr w:type="spellStart"/>
      <w:r>
        <w:t>ricercare</w:t>
      </w:r>
      <w:proofErr w:type="spellEnd"/>
      <w:r>
        <w:t xml:space="preserve">, by noting its presence at certain </w:t>
      </w:r>
      <w:proofErr w:type="spellStart"/>
      <w:r>
        <w:t>cadential</w:t>
      </w:r>
      <w:proofErr w:type="spellEnd"/>
      <w:r>
        <w:t xml:space="preserve"> and transitional points</w:t>
      </w:r>
      <w:r w:rsidR="00704013">
        <w:t xml:space="preserve"> and its association with certain compositional textures </w:t>
      </w:r>
      <w:r>
        <w:t>we may conclude that</w:t>
      </w:r>
      <w:r w:rsidR="00704013">
        <w:t xml:space="preserve"> it indicates the presenc</w:t>
      </w:r>
      <w:r w:rsidR="002F3DD7">
        <w:t>e of related formal sections.</w:t>
      </w:r>
      <w:bookmarkStart w:id="0" w:name="_GoBack"/>
      <w:bookmarkEnd w:id="0"/>
    </w:p>
    <w:p w14:paraId="77B819E2" w14:textId="77777777" w:rsidR="00C72D7D" w:rsidRDefault="00C72D7D" w:rsidP="00C72D7D"/>
    <w:p w14:paraId="46B1F30D" w14:textId="77777777" w:rsidR="00C72D7D" w:rsidRDefault="00C72D7D" w:rsidP="00C72D7D"/>
    <w:sectPr w:rsidR="00C72D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85061"/>
    <w:multiLevelType w:val="hybridMultilevel"/>
    <w:tmpl w:val="A5BCC07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99"/>
    <w:rsid w:val="000822B1"/>
    <w:rsid w:val="00295D5B"/>
    <w:rsid w:val="002F3DD7"/>
    <w:rsid w:val="00326B2E"/>
    <w:rsid w:val="00392C4B"/>
    <w:rsid w:val="00664CD4"/>
    <w:rsid w:val="00704013"/>
    <w:rsid w:val="00797188"/>
    <w:rsid w:val="007C6299"/>
    <w:rsid w:val="009E23FA"/>
    <w:rsid w:val="00B6316D"/>
    <w:rsid w:val="00C72D7D"/>
    <w:rsid w:val="00E604DF"/>
    <w:rsid w:val="00FA198E"/>
    <w:rsid w:val="00FE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01D37"/>
  <w15:chartTrackingRefBased/>
  <w15:docId w15:val="{B8C0CA87-339C-4530-9C3E-1BE0B366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Rogan Bogaert</dc:creator>
  <cp:keywords/>
  <dc:description/>
  <cp:lastModifiedBy>Rogan Bogaert</cp:lastModifiedBy>
  <cp:revision>2</cp:revision>
  <dcterms:created xsi:type="dcterms:W3CDTF">2014-11-01T19:42:00Z</dcterms:created>
  <dcterms:modified xsi:type="dcterms:W3CDTF">2014-11-01T19:42:00Z</dcterms:modified>
</cp:coreProperties>
</file>